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b/>
          <w:bCs/>
          <w:color w:val="5C7686"/>
          <w:sz w:val="18"/>
          <w:szCs w:val="18"/>
        </w:rPr>
        <w:t xml:space="preserve">PHOENIX3 COLLECTIVE</w:t>
      </w:r>
    </w:p>
    <w:p>
      <w:pPr>
        <w:pStyle w:val="Heading1"/>
        <w:spacing w:after="60"/>
      </w:pPr>
      <w:r>
        <w:rPr>
          <w:b/>
          <w:bCs/>
          <w:color w:val="0A4261"/>
        </w:rPr>
        <w:t xml:space="preserve">Galley Foundations — Narration Production Script</w:t>
      </w:r>
    </w:p>
    <w:p>
      <w:pPr>
        <w:spacing w:after="120"/>
      </w:pPr>
      <w:r>
        <w:rPr>
          <w:i/>
          <w:iCs/>
          <w:color w:val="5C7686"/>
          <w:sz w:val="22"/>
          <w:szCs w:val="22"/>
        </w:rPr>
        <w:t xml:space="preserve">For the narrated / AI-avatar video of the Galley Foundations course · 10 scenes · ≈13 minutes</w:t>
      </w:r>
    </w:p>
    <w:p>
      <w:pPr>
        <w:pBdr>
          <w:bottom w:val="single" w:color="EF3827" w:sz="6" w:space="6"/>
        </w:pBdr>
        <w:spacing w:after="160"/>
      </w:pPr>
    </w:p>
    <w:p>
      <w:pPr>
        <w:pStyle w:val="Heading2"/>
        <w:spacing w:after="120" w:before="260"/>
      </w:pPr>
      <w:r>
        <w:rPr>
          <w:b/>
          <w:bCs/>
          <w:color w:val="0A4261"/>
        </w:rPr>
        <w:t xml:space="preserve">How to use this script</w:t>
      </w:r>
    </w:p>
    <w:p>
      <w:pPr>
        <w:spacing w:after="120"/>
      </w:pPr>
      <w:r>
        <w:t xml:space="preserve">Each scene below has three parts: an </w:t>
      </w:r>
      <w:r>
        <w:rPr>
          <w:b/>
          <w:bCs/>
        </w:rPr>
        <w:t xml:space="preserve">on-screen</w:t>
      </w:r>
      <w:r>
        <w:t xml:space="preserve"> cue (what the slide shows), an approximate </w:t>
      </w:r>
      <w:r>
        <w:rPr>
          <w:b/>
          <w:bCs/>
        </w:rPr>
        <w:t xml:space="preserve">duration</w:t>
      </w:r>
      <w:r>
        <w:t xml:space="preserve">, and the </w:t>
      </w:r>
      <w:r>
        <w:rPr>
          <w:b/>
          <w:bCs/>
        </w:rPr>
        <w:t xml:space="preserve">narration</w:t>
      </w:r>
      <w:r>
        <w:t xml:space="preserve"> to be voiced. The narration is final — paste it as-is.</w:t>
      </w:r>
    </w:p>
    <w:p>
      <w:pPr>
        <w:pStyle w:val="Heading2"/>
        <w:spacing w:after="120" w:before="260"/>
      </w:pPr>
      <w:r>
        <w:rPr>
          <w:b/>
          <w:bCs/>
          <w:color w:val="0A4261"/>
        </w:rPr>
        <w:t xml:space="preserve">Producing with an AI avatar tool (Synthesia, HeyGen)</w:t>
      </w:r>
    </w:p>
    <w:p>
      <w:pPr>
        <w:pStyle w:val="ListParagraph"/>
        <w:numPr>
          <w:ilvl w:val="0"/>
          <w:numId w:val="2"/>
        </w:numPr>
        <w:spacing w:after="60"/>
      </w:pPr>
      <w:r>
        <w:t xml:space="preserve">Create one scene per section below (10 scenes total). Rebuild each slide from the on-screen cue, or screenshot the matching scene from the existing Galley Foundations HTML course and use it as the slide background.</w:t>
      </w:r>
    </w:p>
    <w:p>
      <w:pPr>
        <w:pStyle w:val="ListParagraph"/>
        <w:numPr>
          <w:ilvl w:val="0"/>
          <w:numId w:val="2"/>
        </w:numPr>
        <w:spacing w:after="60"/>
      </w:pPr>
      <w:r>
        <w:t xml:space="preserve">Paste the narration text into the script field for each scene.</w:t>
      </w:r>
    </w:p>
    <w:p>
      <w:pPr>
        <w:pStyle w:val="ListParagraph"/>
        <w:numPr>
          <w:ilvl w:val="0"/>
          <w:numId w:val="2"/>
        </w:numPr>
        <w:spacing w:after="60"/>
      </w:pPr>
      <w:r>
        <w:t xml:space="preserve">Voice: a professional US-English voice. Target pace ~150 words per minute; add a 0.4–0.6 second pause between scenes.</w:t>
      </w:r>
    </w:p>
    <w:p>
      <w:pPr>
        <w:pStyle w:val="ListParagraph"/>
        <w:numPr>
          <w:ilvl w:val="0"/>
          <w:numId w:val="2"/>
        </w:numPr>
        <w:spacing w:after="60"/>
      </w:pPr>
      <w:r>
        <w:t xml:space="preserve">Brand: Midnight Blue #0A4261 (dominant), Crimson #EF3827 and Lemon #F7CC1F accents. Headings Montserrat, body Arial.</w:t>
      </w:r>
    </w:p>
    <w:p>
      <w:pPr>
        <w:pStyle w:val="Heading2"/>
        <w:spacing w:after="120" w:before="260"/>
      </w:pPr>
      <w:r>
        <w:rPr>
          <w:b/>
          <w:bCs/>
          <w:color w:val="0A4261"/>
        </w:rPr>
        <w:t xml:space="preserve">Producing voiceover only (ElevenLabs, etc.)</w:t>
      </w:r>
    </w:p>
    <w:p>
      <w:pPr>
        <w:pStyle w:val="ListParagraph"/>
        <w:numPr>
          <w:ilvl w:val="0"/>
          <w:numId w:val="2"/>
        </w:numPr>
        <w:spacing w:after="60"/>
      </w:pPr>
      <w:r>
        <w:t xml:space="preserve">Generate one audio clip per scene, then lay it over the existing branded slides from the HTML course.</w:t>
      </w:r>
    </w:p>
    <w:p>
      <w:pPr>
        <w:pStyle w:val="ListParagraph"/>
        <w:numPr>
          <w:ilvl w:val="0"/>
          <w:numId w:val="2"/>
        </w:numPr>
        <w:spacing w:after="60"/>
      </w:pPr>
      <w:r>
        <w:t xml:space="preserve">Keep “support dot galley solutions dot com” spelled as words (as written in scene 10) so the voice reads the URL naturally.</w:t>
      </w:r>
    </w:p>
    <w:p>
      <w:pPr>
        <w:pStyle w:val="ListParagraph"/>
        <w:numPr>
          <w:ilvl w:val="0"/>
          <w:numId w:val="2"/>
        </w:numPr>
        <w:spacing w:after="60"/>
      </w:pPr>
      <w:r>
        <w:t xml:space="preserve">Normalize levels across clips so no scene is louder than another.</w:t>
      </w:r>
    </w:p>
    <w:p>
      <w:pPr>
        <w:pBdr>
          <w:bottom w:val="single" w:color="DCE6EC" w:sz="4" w:space="6"/>
        </w:pBdr>
        <w:spacing w:after="160" w:before="120"/>
      </w:pPr>
    </w:p>
    <w:p>
      <w:pPr>
        <w:pStyle w:val="Heading1"/>
        <w:spacing w:after="120" w:before="260"/>
      </w:pPr>
      <w:r>
        <w:rPr>
          <w:b/>
          <w:bCs/>
          <w:color w:val="0A4261"/>
        </w:rPr>
        <w:t xml:space="preserve">The script</w:t>
      </w:r>
    </w:p>
    <w:p>
      <w:pPr>
        <w:pStyle w:val="Heading2"/>
        <w:spacing w:after="80" w:before="240"/>
      </w:pPr>
      <w:r>
        <w:rPr>
          <w:b/>
          <w:bCs/>
          <w:color w:val="0A4261"/>
        </w:rPr>
        <w:t xml:space="preserve">Scene 1 · Welcome / Title  </w:t>
      </w:r>
      <w:r>
        <w:rPr>
          <w:b/>
          <w:bCs/>
          <w:color w:val="EF3827"/>
          <w:sz w:val="20"/>
          <w:szCs w:val="20"/>
        </w:rPr>
        <w:t xml:space="preserve">≈ 11 sec</w:t>
      </w:r>
    </w:p>
    <w:p>
      <w:pPr>
        <w:spacing w:after="100"/>
      </w:pPr>
      <w:r>
        <w:rPr>
          <w:b/>
          <w:bCs/>
          <w:color w:val="5C7686"/>
          <w:sz w:val="20"/>
          <w:szCs w:val="20"/>
        </w:rPr>
        <w:t xml:space="preserve">ON SCREEN:  </w:t>
      </w:r>
      <w:r>
        <w:rPr>
          <w:i/>
          <w:iCs/>
          <w:color w:val="5C7686"/>
          <w:sz w:val="20"/>
          <w:szCs w:val="20"/>
        </w:rPr>
        <w:t xml:space="preserve">Title card on dark midnight-blue. Flame mark. Headline: “What Galley is. What it does. How we use it.” Subtitle: orientation, ≈13 min.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Welcome to Galley Foundations — the orientation to Phoenix3’s culinary operating system. In the next few minutes we’ll cover what Galley is, what it does, and how we use it across the collective. The goal here is to orient you, not overwhelm you. Your full hands-on training comes later. Let’s get started.</w:t>
            </w:r>
          </w:p>
        </w:tc>
      </w:tr>
    </w:tbl>
    <w:p>
      <w:pPr>
        <w:spacing w:after="60"/>
      </w:pPr>
      <w:r>
        <w:rPr>
          <w:color w:val="9BA3AF"/>
          <w:sz w:val="16"/>
          <w:szCs w:val="16"/>
        </w:rPr>
        <w:t xml:space="preserve">(52 words)</w:t>
      </w:r>
    </w:p>
    <w:p>
      <w:pPr>
        <w:pStyle w:val="Heading2"/>
        <w:spacing w:after="80" w:before="240"/>
      </w:pPr>
      <w:r>
        <w:rPr>
          <w:b/>
          <w:bCs/>
          <w:color w:val="0A4261"/>
        </w:rPr>
        <w:t xml:space="preserve">Scene 2 · The Big Picture  </w:t>
      </w:r>
      <w:r>
        <w:rPr>
          <w:b/>
          <w:bCs/>
          <w:color w:val="EF3827"/>
          <w:sz w:val="20"/>
          <w:szCs w:val="20"/>
        </w:rPr>
        <w:t xml:space="preserve">≈ 30 sec</w:t>
      </w:r>
    </w:p>
    <w:p>
      <w:pPr>
        <w:spacing w:after="100"/>
      </w:pPr>
      <w:r>
        <w:rPr>
          <w:b/>
          <w:bCs/>
          <w:color w:val="5C7686"/>
          <w:sz w:val="20"/>
          <w:szCs w:val="20"/>
        </w:rPr>
        <w:t xml:space="preserve">ON SCREEN:  </w:t>
      </w:r>
      <w:r>
        <w:rPr>
          <w:i/>
          <w:iCs/>
          <w:color w:val="5C7686"/>
          <w:sz w:val="20"/>
          <w:szCs w:val="20"/>
        </w:rPr>
        <w:t xml:space="preserve">Light layout. Lede on “single source of truth.” Grid of six job cards: Recipes &amp; Costing, Menu Planning, Purchasing &amp; Vendors, Production &amp; Labels, Nutrition &amp; Allergens, Inventory &amp; Reporting.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Galley is our culinary operating system — the single source of truth. Every recipe, ingredient, cost, yield, and portion lives in one place. Everything we plan, buy, cook, and report pulls from it. Enter data once, correctly, and it stays consistent everywhere downstream. Galley does six big jobs for us. It builds recipes and rolls up their cost automatically. It plans menus through cycles, plans, and dated events. It manages purchasing — pack sizes, costs, purchase orders, and invoices. It drives production sheets and allergen labels. It carries USDA nutrition and the top nine allergens. And it runs inventory counts, variance, and Actual versus Theoretical reporting. One instance, one shared recipe library, used across the whole collective — and Collections govern which recipes apply to each line of business.</w:t>
            </w:r>
          </w:p>
        </w:tc>
      </w:tr>
    </w:tbl>
    <w:p>
      <w:pPr>
        <w:spacing w:after="60"/>
      </w:pPr>
      <w:r>
        <w:rPr>
          <w:color w:val="9BA3AF"/>
          <w:sz w:val="16"/>
          <w:szCs w:val="16"/>
        </w:rPr>
        <w:t xml:space="preserve">(129 words)</w:t>
      </w:r>
    </w:p>
    <w:p>
      <w:pPr>
        <w:pStyle w:val="Heading2"/>
        <w:spacing w:after="80" w:before="240"/>
      </w:pPr>
      <w:r>
        <w:rPr>
          <w:b/>
          <w:bCs/>
          <w:color w:val="0A4261"/>
        </w:rPr>
        <w:t xml:space="preserve">Scene 3 · The Mental Model  </w:t>
      </w:r>
      <w:r>
        <w:rPr>
          <w:b/>
          <w:bCs/>
          <w:color w:val="EF3827"/>
          <w:sz w:val="20"/>
          <w:szCs w:val="20"/>
        </w:rPr>
        <w:t xml:space="preserve">≈ 30 sec</w:t>
      </w:r>
    </w:p>
    <w:p>
      <w:pPr>
        <w:spacing w:after="100"/>
      </w:pPr>
      <w:r>
        <w:rPr>
          <w:b/>
          <w:bCs/>
          <w:color w:val="5C7686"/>
          <w:sz w:val="20"/>
          <w:szCs w:val="20"/>
        </w:rPr>
        <w:t xml:space="preserve">ON SCREEN:  </w:t>
      </w:r>
      <w:r>
        <w:rPr>
          <w:i/>
          <w:iCs/>
          <w:color w:val="5C7686"/>
          <w:sz w:val="20"/>
          <w:szCs w:val="20"/>
        </w:rPr>
        <w:t xml:space="preserve">Five-level stacked hierarchy, foundation at the bottom: 1 Vendor Items, 2 Ingredients, 3 Recipes, 4 Menus, 5 Operations.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Here’s the most important concept. Galley is a hierarchy of five levels, each built from the one below it. At the foundation are Vendor Items — what we buy, with pack size, cost, and SKU. Those feed Ingredients — the foundation of everything, carrying the unit of measure, allergens, and USDA nutrition. Ingredients build Recipes — what we cook, with yields, procedures, and linked sub-recipes, where cost rolls up automatically. Recipes populate Menus — what we serve, organized as Cycles, Plans, and Events. And Menus drive Operations — purchase orders, production, invoices, counts, labels, and reporting. A clean foundation is what makes accurate costs, menus, and labels possible at every level above. Bad data at the bottom corrupts everything on top.</w:t>
            </w:r>
          </w:p>
        </w:tc>
      </w:tr>
    </w:tbl>
    <w:p>
      <w:pPr>
        <w:spacing w:after="60"/>
      </w:pPr>
      <w:r>
        <w:rPr>
          <w:color w:val="9BA3AF"/>
          <w:sz w:val="16"/>
          <w:szCs w:val="16"/>
        </w:rPr>
        <w:t xml:space="preserve">(121 words)</w:t>
      </w:r>
    </w:p>
    <w:p>
      <w:pPr>
        <w:pStyle w:val="Heading2"/>
        <w:spacing w:after="80" w:before="240"/>
      </w:pPr>
      <w:r>
        <w:rPr>
          <w:b/>
          <w:bCs/>
          <w:color w:val="0A4261"/>
        </w:rPr>
        <w:t xml:space="preserve">Scene 4 · Getting Around  </w:t>
      </w:r>
      <w:r>
        <w:rPr>
          <w:b/>
          <w:bCs/>
          <w:color w:val="EF3827"/>
          <w:sz w:val="20"/>
          <w:szCs w:val="20"/>
        </w:rPr>
        <w:t xml:space="preserve">≈ 26 sec</w:t>
      </w:r>
    </w:p>
    <w:p>
      <w:pPr>
        <w:spacing w:after="100"/>
      </w:pPr>
      <w:r>
        <w:rPr>
          <w:b/>
          <w:bCs/>
          <w:color w:val="5C7686"/>
          <w:sz w:val="20"/>
          <w:szCs w:val="20"/>
        </w:rPr>
        <w:t xml:space="preserve">ON SCREEN:  </w:t>
      </w:r>
      <w:r>
        <w:rPr>
          <w:i/>
          <w:iCs/>
          <w:color w:val="5C7686"/>
          <w:sz w:val="20"/>
          <w:szCs w:val="20"/>
        </w:rPr>
        <w:t xml:space="preserve">Four area cards: Recipes, Menus, Inventory, Reports. Two note callouts: “Scoped to your location” and “View Only to start.” Footer: Restaura / Culinour / Infuse contexts.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When you log in, you’ll find four main areas. Recipes is the library — yields, procedures, and allergens. Menus holds Cycles, Plans, and Events. Inventory is counts and on-hand by sub-location. And Reports covers production, purchasing, and variance. Two things shape what you see. First, everything in Menus, Inventory, and Reports is scoped to the location you’re assigned to. Second, every new user starts in View Only — read-only access scoped to your location and domain — until your role training is confirmed. And remember, Restaura, Culinour, and Infuse each appear as their own context inside the same system.</w:t>
            </w:r>
          </w:p>
        </w:tc>
      </w:tr>
    </w:tbl>
    <w:p>
      <w:pPr>
        <w:spacing w:after="60"/>
      </w:pPr>
      <w:r>
        <w:rPr>
          <w:color w:val="9BA3AF"/>
          <w:sz w:val="16"/>
          <w:szCs w:val="16"/>
        </w:rPr>
        <w:t xml:space="preserve">(99 words)</w:t>
      </w:r>
    </w:p>
    <w:p>
      <w:pPr>
        <w:pStyle w:val="Heading2"/>
        <w:spacing w:after="80" w:before="240"/>
      </w:pPr>
      <w:r>
        <w:rPr>
          <w:b/>
          <w:bCs/>
          <w:color w:val="0A4261"/>
        </w:rPr>
        <w:t xml:space="preserve">Scene 5 · Inside a Recipe  </w:t>
      </w:r>
      <w:r>
        <w:rPr>
          <w:b/>
          <w:bCs/>
          <w:color w:val="EF3827"/>
          <w:sz w:val="20"/>
          <w:szCs w:val="20"/>
        </w:rPr>
        <w:t xml:space="preserve">≈ 32 sec</w:t>
      </w:r>
    </w:p>
    <w:p>
      <w:pPr>
        <w:spacing w:after="100"/>
      </w:pPr>
      <w:r>
        <w:rPr>
          <w:b/>
          <w:bCs/>
          <w:color w:val="5C7686"/>
          <w:sz w:val="20"/>
          <w:szCs w:val="20"/>
        </w:rPr>
        <w:t xml:space="preserve">ON SCREEN:  </w:t>
      </w:r>
      <w:r>
        <w:rPr>
          <w:i/>
          <w:iCs/>
          <w:color w:val="5C7686"/>
          <w:sz w:val="20"/>
          <w:szCs w:val="20"/>
        </w:rPr>
        <w:t xml:space="preserve">Recipe card with contents list (yield, procedure, ingredients, allergens, nutrition, plate cost, IDDSI, tags). Two callouts: “Costs &amp; nutrition roll up” and “Allergens are built 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Open any finalized recipe and the full picture of that dish sits in one place — how it’s made, what’s in it, and what it costs. Inside, you’ll find the yield, serving size, and portion count; the step-by-step procedure; the full ingredient list, including any linked sub-recipes; allergens and dietary flags; nutrition per serving; the plate cost; IDDSI texture levels where they apply; and the category, tags, and photo. Two things happen automatically. Costs and nutrition roll up — every ingredient and linked sub-recipe contributes, so the plate cost and full nutritionals come straight from the recipe. And allergens are built in — allergen and dietary data set on each ingredient appears automatically on every recipe that uses it. One note on finding recipes: only finalized recipes appear on active menus, so if a recipe seems to be missing, check its status first.</w:t>
            </w:r>
          </w:p>
        </w:tc>
      </w:tr>
    </w:tbl>
    <w:p>
      <w:pPr>
        <w:spacing w:after="60"/>
      </w:pPr>
      <w:r>
        <w:rPr>
          <w:color w:val="9BA3AF"/>
          <w:sz w:val="16"/>
          <w:szCs w:val="16"/>
        </w:rPr>
        <w:t xml:space="preserve">(143 words)</w:t>
      </w:r>
    </w:p>
    <w:p>
      <w:pPr>
        <w:pStyle w:val="Heading2"/>
        <w:spacing w:after="80" w:before="240"/>
      </w:pPr>
      <w:r>
        <w:rPr>
          <w:b/>
          <w:bCs/>
          <w:color w:val="0A4261"/>
        </w:rPr>
        <w:t xml:space="preserve">Scene 6 · Menus: Cycles, Plans, Events  </w:t>
      </w:r>
      <w:r>
        <w:rPr>
          <w:b/>
          <w:bCs/>
          <w:color w:val="EF3827"/>
          <w:sz w:val="20"/>
          <w:szCs w:val="20"/>
        </w:rPr>
        <w:t xml:space="preserve">≈ 22 sec</w:t>
      </w:r>
    </w:p>
    <w:p>
      <w:pPr>
        <w:spacing w:after="100"/>
      </w:pPr>
      <w:r>
        <w:rPr>
          <w:b/>
          <w:bCs/>
          <w:color w:val="5C7686"/>
          <w:sz w:val="20"/>
          <w:szCs w:val="20"/>
        </w:rPr>
        <w:t xml:space="preserve">ON SCREEN:  </w:t>
      </w:r>
      <w:r>
        <w:rPr>
          <w:i/>
          <w:iCs/>
          <w:color w:val="5C7686"/>
          <w:sz w:val="20"/>
          <w:szCs w:val="20"/>
        </w:rPr>
        <w:t xml:space="preserve">Three-stage flow with arrows: Cycles ▶ Plans ▶ Events. Footer emphasis: everything operational originates from an Event.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Menus work in three layers, and each is a more specific instance of the one before it. A Cycle is a repeating menu structure — the reusable template a menu is built from, published by culinary leadership. A Plan is a location’s working version of a cycle for a given period. And an Event is a specific dated service. This is the one to remember: everything operational — purchase orders, production, and reporting — originates from an Event. If nothing is happening downstream, the first thing to check is whether the event exists and is set up correctly.</w:t>
            </w:r>
          </w:p>
        </w:tc>
      </w:tr>
    </w:tbl>
    <w:p>
      <w:pPr>
        <w:spacing w:after="60"/>
      </w:pPr>
      <w:r>
        <w:rPr>
          <w:color w:val="9BA3AF"/>
          <w:sz w:val="16"/>
          <w:szCs w:val="16"/>
        </w:rPr>
        <w:t xml:space="preserve">(98 words)</w:t>
      </w:r>
    </w:p>
    <w:p>
      <w:pPr>
        <w:pStyle w:val="Heading2"/>
        <w:spacing w:after="80" w:before="240"/>
      </w:pPr>
      <w:r>
        <w:rPr>
          <w:b/>
          <w:bCs/>
          <w:color w:val="0A4261"/>
        </w:rPr>
        <w:t xml:space="preserve">Scene 7 · The Daily Field Loop  </w:t>
      </w:r>
      <w:r>
        <w:rPr>
          <w:b/>
          <w:bCs/>
          <w:color w:val="EF3827"/>
          <w:sz w:val="20"/>
          <w:szCs w:val="20"/>
        </w:rPr>
        <w:t xml:space="preserve">≈ 32 sec</w:t>
      </w:r>
    </w:p>
    <w:p>
      <w:pPr>
        <w:spacing w:after="100"/>
      </w:pPr>
      <w:r>
        <w:rPr>
          <w:b/>
          <w:bCs/>
          <w:color w:val="5C7686"/>
          <w:sz w:val="20"/>
          <w:szCs w:val="20"/>
        </w:rPr>
        <w:t xml:space="preserve">ON SCREEN:  </w:t>
      </w:r>
      <w:r>
        <w:rPr>
          <w:i/>
          <w:iCs/>
          <w:color w:val="5C7686"/>
          <w:sz w:val="20"/>
          <w:szCs w:val="20"/>
        </w:rPr>
        <w:t xml:space="preserve">Five-step loop: 1 Order → 2 Receive → 3 Submit → 4 Match → 5 Approve. Four ops mini-cards: invoice scanning, inventory counts, production, Actual vs. Theoretical.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Once an Event exists, the operational rhythm follows the delivery cycle in five steps. First, Order — the purchase order in Galley is the ordering record. Second, Receive — verify the delivery dock-side. Third, Submit — email the invoice to Galley. Fourth, Match — map the invoice line items. And fifth, Approve — and on approval, costs and inventory update. The key idea: the PO is the ordering record, and the approved invoice is the receiving record. It refreshes vendor costs in real time and posts to inventory. Operations also covers monthly inventory counts — one full count per period-end, with a two-person rule for full counts and alcohol — production sheets and labels generated from the event’s recipes, and Actual versus Theoretical reporting, which compares recipe-driven usage to counted usage. A big variance is a flag to route up.</w:t>
            </w:r>
          </w:p>
        </w:tc>
      </w:tr>
    </w:tbl>
    <w:p>
      <w:pPr>
        <w:spacing w:after="60"/>
      </w:pPr>
      <w:r>
        <w:rPr>
          <w:color w:val="9BA3AF"/>
          <w:sz w:val="16"/>
          <w:szCs w:val="16"/>
        </w:rPr>
        <w:t xml:space="preserve">(140 words)</w:t>
      </w:r>
    </w:p>
    <w:p>
      <w:pPr>
        <w:pStyle w:val="Heading2"/>
        <w:spacing w:after="80" w:before="240"/>
      </w:pPr>
      <w:r>
        <w:rPr>
          <w:b/>
          <w:bCs/>
          <w:color w:val="0A4261"/>
        </w:rPr>
        <w:t xml:space="preserve">Scene 8 · Self-Serve vs. Centrally Managed  </w:t>
      </w:r>
      <w:r>
        <w:rPr>
          <w:b/>
          <w:bCs/>
          <w:color w:val="EF3827"/>
          <w:sz w:val="20"/>
          <w:szCs w:val="20"/>
        </w:rPr>
        <w:t xml:space="preserve">≈ 22 sec</w:t>
      </w:r>
    </w:p>
    <w:p>
      <w:pPr>
        <w:spacing w:after="100"/>
      </w:pPr>
      <w:r>
        <w:rPr>
          <w:b/>
          <w:bCs/>
          <w:color w:val="5C7686"/>
          <w:sz w:val="20"/>
          <w:szCs w:val="20"/>
        </w:rPr>
        <w:t xml:space="preserve">ON SCREEN:  </w:t>
      </w:r>
      <w:r>
        <w:rPr>
          <w:i/>
          <w:iCs/>
          <w:color w:val="5C7686"/>
          <w:sz w:val="20"/>
          <w:szCs w:val="20"/>
        </w:rPr>
        <w:t xml:space="preserve">Two columns. Self-serve (find recipes, read plans, navigate events, reports, counts) vs. Centrally managed (recipe/ingredient data, vendor items, dietary flags, cycles, access).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So how does a typical user work in Galley? Most day-to-day work is self-serve: finding recipes and reading yields and allergens, reading your location’s plan, opening and navigating events, running production and purchasing reports, and doing inventory counts. The structure of the shared library is managed centrally by culinary leadership — that includes recipe and ingredient data, vendor items and pack sizes, dietary flags and allergens, menu cycles, and user access and roles. That governance is deliberate. It’s what keeps the data consistent across the entire collective.</w:t>
            </w:r>
          </w:p>
        </w:tc>
      </w:tr>
    </w:tbl>
    <w:p>
      <w:pPr>
        <w:spacing w:after="60"/>
      </w:pPr>
      <w:r>
        <w:rPr>
          <w:color w:val="9BA3AF"/>
          <w:sz w:val="16"/>
          <w:szCs w:val="16"/>
        </w:rPr>
        <w:t xml:space="preserve">(87 words)</w:t>
      </w:r>
    </w:p>
    <w:p>
      <w:pPr>
        <w:pStyle w:val="Heading2"/>
        <w:spacing w:after="80" w:before="240"/>
      </w:pPr>
      <w:r>
        <w:rPr>
          <w:b/>
          <w:bCs/>
          <w:color w:val="0A4261"/>
        </w:rPr>
        <w:t xml:space="preserve">Scene 9 · Self-Serve vs. Escalate  </w:t>
      </w:r>
      <w:r>
        <w:rPr>
          <w:b/>
          <w:bCs/>
          <w:color w:val="EF3827"/>
          <w:sz w:val="20"/>
          <w:szCs w:val="20"/>
        </w:rPr>
        <w:t xml:space="preserve">≈ 24 sec</w:t>
      </w:r>
    </w:p>
    <w:p>
      <w:pPr>
        <w:spacing w:after="100"/>
      </w:pPr>
      <w:r>
        <w:rPr>
          <w:b/>
          <w:bCs/>
          <w:color w:val="5C7686"/>
          <w:sz w:val="20"/>
          <w:szCs w:val="20"/>
        </w:rPr>
        <w:t xml:space="preserve">ON SCREEN:  </w:t>
      </w:r>
      <w:r>
        <w:rPr>
          <w:i/>
          <w:iCs/>
          <w:color w:val="5C7686"/>
          <w:sz w:val="20"/>
          <w:szCs w:val="20"/>
        </w:rPr>
        <w:t xml:space="preserve">Two columns. “You can self-serve” vs. “Escalate to leadership.” Highlighted note: allergens / dietary flags / IDDSI → RD then Director of Nutrition.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Here’s the simplest way to remember where your line is. You can self-serve any time you’re searching recipes, reading plans, navigating events, running reports, or reviewing inventory. You should escalate to culinary leadership when something looks wrong — recipe data that seems off, a missing ingredient, a plan that won’t load, a vendor item issue, or any access problem. For anything involving allergens, dietary flags, or IDDSI texture levels, route to the RD on site first, then the Director of Nutrition. When in doubt, flag it — don’t edit it.</w:t>
            </w:r>
          </w:p>
        </w:tc>
      </w:tr>
    </w:tbl>
    <w:p>
      <w:pPr>
        <w:spacing w:after="60"/>
      </w:pPr>
      <w:r>
        <w:rPr>
          <w:color w:val="9BA3AF"/>
          <w:sz w:val="16"/>
          <w:szCs w:val="16"/>
        </w:rPr>
        <w:t xml:space="preserve">(90 words)</w:t>
      </w:r>
    </w:p>
    <w:p>
      <w:pPr>
        <w:pStyle w:val="Heading2"/>
        <w:spacing w:after="80" w:before="240"/>
      </w:pPr>
      <w:r>
        <w:rPr>
          <w:b/>
          <w:bCs/>
          <w:color w:val="0A4261"/>
        </w:rPr>
        <w:t xml:space="preserve">Scene 10 · Close  </w:t>
      </w:r>
      <w:r>
        <w:rPr>
          <w:b/>
          <w:bCs/>
          <w:color w:val="EF3827"/>
          <w:sz w:val="20"/>
          <w:szCs w:val="20"/>
        </w:rPr>
        <w:t xml:space="preserve">≈ 16 sec</w:t>
      </w:r>
    </w:p>
    <w:p>
      <w:pPr>
        <w:spacing w:after="100"/>
      </w:pPr>
      <w:r>
        <w:rPr>
          <w:b/>
          <w:bCs/>
          <w:color w:val="5C7686"/>
          <w:sz w:val="20"/>
          <w:szCs w:val="20"/>
        </w:rPr>
        <w:t xml:space="preserve">ON SCREEN:  </w:t>
      </w:r>
      <w:r>
        <w:rPr>
          <w:i/>
          <w:iCs/>
          <w:color w:val="5C7686"/>
          <w:sz w:val="20"/>
          <w:szCs w:val="20"/>
        </w:rPr>
        <w:t xml:space="preserve">Dark close card. Large line: Galley is our single source of truth. Meta: Next → role training; Help docs → support.galleysolutions.com; Questions → Culinary Admin.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DCE6EC" w:sz="2"/>
              <w:left w:val="single" w:color="EF3827" w:sz="18"/>
              <w:bottom w:val="single" w:color="DCE6EC" w:sz="2"/>
              <w:right w:val="single" w:color="DCE6EC" w:sz="2"/>
            </w:tcBorders>
            <w:shd w:fill="EEF3F6" w:val="clear"/>
            <w:tcMar>
              <w:top w:type="dxa" w:w="140"/>
              <w:left w:type="dxa" w:w="200"/>
              <w:bottom w:type="dxa" w:w="140"/>
              <w:right w:type="dxa" w:w="160"/>
            </w:tcMar>
          </w:tcPr>
          <w:p>
            <w:pPr>
              <w:spacing w:after="0"/>
            </w:pPr>
            <w:r>
              <w:rPr>
                <w:color w:val="16323F"/>
                <w:sz w:val="24"/>
                <w:szCs w:val="24"/>
              </w:rPr>
              <w:t xml:space="preserve">That’s the foundation. In short: Galley is our single source of truth for recipe and ingredient data — enter it once, correctly, and it stays right everywhere downstream. From here, your role-specific training takes you hands-on. Help docs live at support dot galley solutions dot com, and questions go to your Culinary Admin. Thanks for watching — and welcome to Galley.</w:t>
            </w:r>
          </w:p>
        </w:tc>
      </w:tr>
    </w:tbl>
    <w:p>
      <w:pPr>
        <w:spacing w:after="60"/>
      </w:pPr>
      <w:r>
        <w:rPr>
          <w:color w:val="9BA3AF"/>
          <w:sz w:val="16"/>
          <w:szCs w:val="16"/>
        </w:rPr>
        <w:t xml:space="preserve">(61 words)</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BA3AF"/>
        <w:sz w:val="16"/>
        <w:szCs w:val="16"/>
      </w:rPr>
      <w:t xml:space="preserve">Phoenix3 Collective · Culinary Leadership · Page </w:t>
    </w:r>
    <w:r>
      <w:rPr>
        <w:color w:val="9BA3AF"/>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BA3AF"/>
        <w:sz w:val="16"/>
        <w:szCs w:val="16"/>
      </w:rPr>
      <w:t xml:space="preserve">Galley Foundations · Narration Production Script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240"/>
      <w:outlineLvl w:val="0"/>
    </w:pPr>
    <w:rPr>
      <w:rFonts w:ascii="Arial" w:cs="Arial" w:eastAsia="Arial" w:hAnsi="Arial"/>
      <w:b/>
      <w:bCs/>
      <w:color w:val="0A4261"/>
      <w:sz w:val="34"/>
      <w:szCs w:val="34"/>
    </w:rPr>
  </w:style>
  <w:style w:type="paragraph" w:styleId="Heading2">
    <w:name w:val="Heading 2"/>
    <w:basedOn w:val="Normal"/>
    <w:next w:val="Normal"/>
    <w:qFormat/>
    <w:pPr>
      <w:spacing w:after="120" w:before="220"/>
      <w:outlineLvl w:val="1"/>
    </w:pPr>
    <w:rPr>
      <w:rFonts w:ascii="Arial" w:cs="Arial" w:eastAsia="Arial" w:hAnsi="Arial"/>
      <w:b/>
      <w:bCs/>
      <w:color w:val="0A426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2026-06-16T04:06:10.686Z</dcterms:created>
  <dcterms:modified xsi:type="dcterms:W3CDTF">2026-06-16T04:06:10.687Z</dcterms:modified>
</cp:coreProperties>
</file>

<file path=docProps/custom.xml><?xml version="1.0" encoding="utf-8"?>
<Properties xmlns="http://schemas.openxmlformats.org/officeDocument/2006/custom-properties" xmlns:vt="http://schemas.openxmlformats.org/officeDocument/2006/docPropsVTypes"/>
</file>